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B514" w14:textId="770793F7" w:rsidR="00D974BD" w:rsidRDefault="00D974BD" w:rsidP="006208AD">
      <w:pPr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438AA">
        <w:rPr>
          <w:rFonts w:eastAsia="Times New Roman"/>
          <w:b/>
          <w:bCs/>
          <w:sz w:val="28"/>
          <w:szCs w:val="28"/>
          <w:lang w:eastAsia="ru-RU"/>
        </w:rPr>
        <w:t>О ЦЕЛЕСООБРАЗНОСТИ СОЗДАНИЯ</w:t>
      </w:r>
      <w:r w:rsidRPr="003438AA">
        <w:rPr>
          <w:rFonts w:eastAsia="Times New Roman"/>
          <w:sz w:val="28"/>
          <w:szCs w:val="28"/>
          <w:lang w:eastAsia="ru-RU"/>
        </w:rPr>
        <w:t xml:space="preserve"> </w:t>
      </w:r>
      <w:r w:rsidRPr="003438AA">
        <w:rPr>
          <w:rFonts w:eastAsia="Times New Roman"/>
          <w:b/>
          <w:bCs/>
          <w:sz w:val="28"/>
          <w:szCs w:val="28"/>
          <w:u w:val="single"/>
          <w:lang w:eastAsia="ru-RU"/>
        </w:rPr>
        <w:t>МЕЖВЕДОМСТВЕННОЙ КОМИССИ</w:t>
      </w:r>
      <w:r w:rsidR="00181CF2" w:rsidRPr="003438AA">
        <w:rPr>
          <w:rFonts w:eastAsia="Times New Roman"/>
          <w:b/>
          <w:bCs/>
          <w:sz w:val="28"/>
          <w:szCs w:val="28"/>
          <w:u w:val="single"/>
          <w:lang w:eastAsia="ru-RU"/>
        </w:rPr>
        <w:t>И</w:t>
      </w:r>
      <w:r w:rsidRPr="003438AA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ПО ГОСУДАРСТВЕННОЙ ПОЛИТИКЕ В СФЕРЕ ФИНАНСОВОЙ АРЕНДЫ (ЛИЗИНГА) И ОПЕРАЦИОННОГО ЛИЗИНГА (далее Межведомственная комиссия)</w:t>
      </w:r>
    </w:p>
    <w:p w14:paraId="78C47480" w14:textId="77777777" w:rsidR="006208AD" w:rsidRPr="003438AA" w:rsidRDefault="006208AD" w:rsidP="006208AD">
      <w:pPr>
        <w:jc w:val="center"/>
        <w:rPr>
          <w:rFonts w:eastAsia="Times New Roman"/>
          <w:sz w:val="28"/>
          <w:szCs w:val="28"/>
          <w:lang w:eastAsia="ru-RU"/>
        </w:rPr>
      </w:pPr>
    </w:p>
    <w:p w14:paraId="77F23D6E" w14:textId="77777777" w:rsidR="00D974BD" w:rsidRDefault="00D974BD" w:rsidP="0059701F">
      <w:pPr>
        <w:jc w:val="both"/>
        <w:rPr>
          <w:rFonts w:eastAsia="Times New Roman"/>
          <w:color w:val="020C22"/>
          <w:sz w:val="28"/>
          <w:szCs w:val="28"/>
          <w:lang w:eastAsia="ru-RU"/>
        </w:rPr>
      </w:pPr>
    </w:p>
    <w:p w14:paraId="31CC9637" w14:textId="1C19BF47" w:rsidR="00F93AFE" w:rsidRPr="00254D49" w:rsidRDefault="00F93AFE" w:rsidP="003438AA">
      <w:pPr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254D49">
        <w:rPr>
          <w:rFonts w:eastAsia="Times New Roman"/>
          <w:color w:val="020C22"/>
          <w:sz w:val="28"/>
          <w:szCs w:val="28"/>
          <w:lang w:eastAsia="ru-RU"/>
        </w:rPr>
        <w:t xml:space="preserve">Ключевая задача национальной экономики и экономической безопасности государства сегодня </w:t>
      </w:r>
      <w:r w:rsidR="003438AA">
        <w:rPr>
          <w:rFonts w:eastAsia="Times New Roman"/>
          <w:color w:val="020C22"/>
          <w:sz w:val="28"/>
          <w:szCs w:val="28"/>
          <w:lang w:eastAsia="ru-RU"/>
        </w:rPr>
        <w:t xml:space="preserve">- </w:t>
      </w:r>
      <w:r w:rsidRPr="00254D49">
        <w:rPr>
          <w:rFonts w:eastAsia="Times New Roman"/>
          <w:color w:val="020C22"/>
          <w:sz w:val="28"/>
          <w:szCs w:val="28"/>
          <w:lang w:eastAsia="ru-RU"/>
        </w:rPr>
        <w:t xml:space="preserve">это глобальная реновация, </w:t>
      </w:r>
      <w:proofErr w:type="spellStart"/>
      <w:r w:rsidRPr="00254D49">
        <w:rPr>
          <w:rFonts w:eastAsia="Times New Roman"/>
          <w:color w:val="020C22"/>
          <w:sz w:val="28"/>
          <w:szCs w:val="28"/>
          <w:lang w:eastAsia="ru-RU"/>
        </w:rPr>
        <w:t>реиндустриализация</w:t>
      </w:r>
      <w:proofErr w:type="spellEnd"/>
      <w:r w:rsidRPr="00254D49">
        <w:rPr>
          <w:rFonts w:eastAsia="Times New Roman"/>
          <w:color w:val="020C22"/>
          <w:sz w:val="28"/>
          <w:szCs w:val="28"/>
          <w:lang w:eastAsia="ru-RU"/>
        </w:rPr>
        <w:t xml:space="preserve"> экономики, ее перевод с сырьевой модели и экспорта энергоносителей на экономику глубокой переработки и несырьевой экспорт.</w:t>
      </w:r>
    </w:p>
    <w:p w14:paraId="10AB8E2E" w14:textId="77777777" w:rsidR="00F93AFE" w:rsidRPr="00254D49" w:rsidRDefault="00F93AFE" w:rsidP="003438AA">
      <w:pPr>
        <w:jc w:val="both"/>
        <w:rPr>
          <w:rFonts w:eastAsia="Times New Roman"/>
          <w:color w:val="020C22"/>
          <w:sz w:val="28"/>
          <w:szCs w:val="28"/>
          <w:lang w:eastAsia="ru-RU"/>
        </w:rPr>
      </w:pPr>
    </w:p>
    <w:p w14:paraId="06749D59" w14:textId="27D815DD" w:rsidR="00F93AFE" w:rsidRDefault="00F93AFE" w:rsidP="003438AA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254D49">
        <w:rPr>
          <w:rFonts w:eastAsia="Times New Roman"/>
          <w:color w:val="020C22"/>
          <w:sz w:val="28"/>
          <w:szCs w:val="28"/>
          <w:lang w:eastAsia="ru-RU"/>
        </w:rPr>
        <w:t xml:space="preserve">Лизинг – эффективный инструмент прямых инвестиций в экономику государства, в том числе в обновление основных производственных фондов. </w:t>
      </w:r>
    </w:p>
    <w:p w14:paraId="27CB7469" w14:textId="433DB1AB" w:rsidR="0059701F" w:rsidRDefault="0059701F" w:rsidP="003438AA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</w:p>
    <w:p w14:paraId="5C8CF1FF" w14:textId="3C015496" w:rsidR="00F93AFE" w:rsidRDefault="00F93AFE" w:rsidP="003438AA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254D49">
        <w:rPr>
          <w:rFonts w:eastAsia="Times New Roman"/>
          <w:color w:val="020C22"/>
          <w:sz w:val="28"/>
          <w:szCs w:val="28"/>
          <w:lang w:eastAsia="ru-RU"/>
        </w:rPr>
        <w:t>Реальный рост инвестиций в основной капитал невозможен без полного раскрытия инвестиционного потенциала лизинга, а целевыми показателями должны стать показатели модернизации экономики и реализации промышленной продукции.</w:t>
      </w:r>
    </w:p>
    <w:p w14:paraId="1A16CCA5" w14:textId="77B59AB9" w:rsidR="00B77EC6" w:rsidRDefault="00B77EC6" w:rsidP="003438AA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</w:p>
    <w:p w14:paraId="0CFDA1AC" w14:textId="178FA970" w:rsidR="00B77EC6" w:rsidRPr="00B77EC6" w:rsidRDefault="00B77EC6" w:rsidP="003438AA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В условиях СВО и санкционного давления повышается роль государства в экономике, в том числе значение госполитики в сфере лизинга.</w:t>
      </w:r>
    </w:p>
    <w:p w14:paraId="3E074A4D" w14:textId="38BA4942" w:rsidR="00B77EC6" w:rsidRDefault="00B77EC6" w:rsidP="003438AA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</w:p>
    <w:p w14:paraId="0A03C6B9" w14:textId="57E97FC3" w:rsidR="00B77EC6" w:rsidRDefault="00B77EC6" w:rsidP="00B77EC6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B77EC6">
        <w:rPr>
          <w:rFonts w:eastAsia="Times New Roman"/>
          <w:color w:val="020C22"/>
          <w:sz w:val="28"/>
          <w:szCs w:val="28"/>
          <w:lang w:eastAsia="ru-RU"/>
        </w:rPr>
        <w:t xml:space="preserve">Основные 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ее </w:t>
      </w:r>
      <w:r w:rsidRPr="00B77EC6">
        <w:rPr>
          <w:rFonts w:eastAsia="Times New Roman"/>
          <w:color w:val="020C22"/>
          <w:sz w:val="28"/>
          <w:szCs w:val="28"/>
          <w:lang w:eastAsia="ru-RU"/>
        </w:rPr>
        <w:t>характеристики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 сегодня</w:t>
      </w:r>
      <w:r w:rsidRPr="00B77EC6">
        <w:rPr>
          <w:rFonts w:eastAsia="Times New Roman"/>
          <w:color w:val="020C22"/>
          <w:sz w:val="28"/>
          <w:szCs w:val="28"/>
          <w:lang w:eastAsia="ru-RU"/>
        </w:rPr>
        <w:t>:</w:t>
      </w:r>
    </w:p>
    <w:p w14:paraId="721C1FEA" w14:textId="77777777" w:rsidR="00B77EC6" w:rsidRPr="00B77EC6" w:rsidRDefault="00B77EC6" w:rsidP="00B77EC6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</w:p>
    <w:p w14:paraId="58B520BD" w14:textId="77777777" w:rsidR="00B77EC6" w:rsidRPr="00B77EC6" w:rsidRDefault="00B77EC6" w:rsidP="00B77EC6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B77EC6">
        <w:rPr>
          <w:rFonts w:eastAsia="Times New Roman"/>
          <w:color w:val="020C22"/>
          <w:sz w:val="28"/>
          <w:szCs w:val="28"/>
          <w:lang w:eastAsia="ru-RU"/>
        </w:rPr>
        <w:t>отсутствие скоординированных, согласованных видения, миссии и целей развития отрасли;</w:t>
      </w:r>
    </w:p>
    <w:p w14:paraId="37B5C83B" w14:textId="77777777" w:rsidR="00B77EC6" w:rsidRPr="00B77EC6" w:rsidRDefault="00B77EC6" w:rsidP="00B77EC6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B77EC6">
        <w:rPr>
          <w:rFonts w:eastAsia="Times New Roman"/>
          <w:color w:val="020C22"/>
          <w:sz w:val="28"/>
          <w:szCs w:val="28"/>
          <w:lang w:eastAsia="ru-RU"/>
        </w:rPr>
        <w:t>дублирование функций и мер поддержки бизнеса с использованием механизма лизинга;</w:t>
      </w:r>
    </w:p>
    <w:p w14:paraId="53CF438B" w14:textId="77777777" w:rsidR="00B77EC6" w:rsidRPr="00B77EC6" w:rsidRDefault="00B77EC6" w:rsidP="00B77EC6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B77EC6">
        <w:rPr>
          <w:rFonts w:eastAsia="Times New Roman"/>
          <w:color w:val="020C22"/>
          <w:sz w:val="28"/>
          <w:szCs w:val="28"/>
          <w:lang w:eastAsia="ru-RU"/>
        </w:rPr>
        <w:t>отсутствие комплексного подхода к реализации лизинговых программ в различных отраслях и регионах;</w:t>
      </w:r>
    </w:p>
    <w:p w14:paraId="515F099B" w14:textId="77777777" w:rsidR="00B77EC6" w:rsidRPr="00B77EC6" w:rsidRDefault="00B77EC6" w:rsidP="00B77EC6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B77EC6">
        <w:rPr>
          <w:rFonts w:eastAsia="Times New Roman"/>
          <w:color w:val="020C22"/>
          <w:sz w:val="28"/>
          <w:szCs w:val="28"/>
          <w:lang w:eastAsia="ru-RU"/>
        </w:rPr>
        <w:t>отсутствие координации по разработке и реализации лизинговых госпрограмм;</w:t>
      </w:r>
    </w:p>
    <w:p w14:paraId="46005E8B" w14:textId="77777777" w:rsidR="00B77EC6" w:rsidRPr="00B77EC6" w:rsidRDefault="00B77EC6" w:rsidP="00B77EC6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B77EC6">
        <w:rPr>
          <w:rFonts w:eastAsia="Times New Roman"/>
          <w:color w:val="020C22"/>
          <w:sz w:val="28"/>
          <w:szCs w:val="28"/>
          <w:lang w:eastAsia="ru-RU"/>
        </w:rPr>
        <w:t>отдельные госпрограммы конкурируют, а не дополняют рынок.</w:t>
      </w:r>
    </w:p>
    <w:p w14:paraId="1737CF2B" w14:textId="77777777" w:rsidR="00B77EC6" w:rsidRPr="00B77EC6" w:rsidRDefault="00B77EC6" w:rsidP="00B77EC6">
      <w:pPr>
        <w:contextualSpacing/>
        <w:jc w:val="both"/>
        <w:rPr>
          <w:rFonts w:eastAsia="Times New Roman"/>
          <w:color w:val="020C22"/>
          <w:sz w:val="28"/>
          <w:szCs w:val="28"/>
          <w:lang w:eastAsia="ru-RU"/>
        </w:rPr>
      </w:pPr>
    </w:p>
    <w:p w14:paraId="262CB741" w14:textId="39A42157" w:rsidR="00F93AFE" w:rsidRPr="002E5639" w:rsidRDefault="00B77EC6" w:rsidP="0059701F">
      <w:pPr>
        <w:pStyle w:val="a5"/>
        <w:autoSpaceDE w:val="0"/>
        <w:autoSpaceDN w:val="0"/>
        <w:adjustRightInd w:val="0"/>
        <w:ind w:left="0"/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2E5639">
        <w:rPr>
          <w:rFonts w:eastAsia="Times New Roman"/>
          <w:color w:val="020C22"/>
          <w:sz w:val="28"/>
          <w:szCs w:val="28"/>
          <w:lang w:eastAsia="ru-RU"/>
        </w:rPr>
        <w:t>Повышению эффективности использования лизинга в экономике государства могла бы способствовать организация межведомственной комиссии по вопр</w:t>
      </w:r>
      <w:r w:rsidR="002E5639" w:rsidRPr="002E5639">
        <w:rPr>
          <w:rFonts w:eastAsia="Times New Roman"/>
          <w:color w:val="020C22"/>
          <w:sz w:val="28"/>
          <w:szCs w:val="28"/>
          <w:lang w:eastAsia="ru-RU"/>
        </w:rPr>
        <w:t>осам государственной политики в сфере лизинга.</w:t>
      </w:r>
    </w:p>
    <w:p w14:paraId="1265BE4C" w14:textId="6C021B24" w:rsidR="00F93AFE" w:rsidRDefault="00F93AFE" w:rsidP="0059701F">
      <w:pPr>
        <w:pStyle w:val="a5"/>
        <w:ind w:lef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</w:p>
    <w:p w14:paraId="730730AF" w14:textId="4189B4A7" w:rsidR="0059701F" w:rsidRDefault="00DC7C57" w:rsidP="0059701F">
      <w:pPr>
        <w:pStyle w:val="a5"/>
        <w:ind w:lef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МЕЖВЕДОМСТВЕННАЯ КОМИССИЯ</w:t>
      </w:r>
    </w:p>
    <w:p w14:paraId="790D8AFE" w14:textId="77777777" w:rsidR="00DC7C57" w:rsidRDefault="00DC7C57" w:rsidP="0059701F">
      <w:pPr>
        <w:pStyle w:val="a5"/>
        <w:ind w:lef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</w:p>
    <w:p w14:paraId="540742E4" w14:textId="1BF7AF90" w:rsidR="0059701F" w:rsidRPr="00E26317" w:rsidRDefault="0059701F" w:rsidP="0059701F">
      <w:pPr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DC7C57">
        <w:rPr>
          <w:rFonts w:eastAsia="Times New Roman"/>
          <w:color w:val="020C22"/>
          <w:sz w:val="28"/>
          <w:szCs w:val="28"/>
          <w:lang w:eastAsia="ru-RU"/>
        </w:rPr>
        <w:t>Межведомственная комиссия</w:t>
      </w:r>
      <w:r w:rsidRPr="00E26317">
        <w:rPr>
          <w:rFonts w:eastAsia="Times New Roman"/>
          <w:color w:val="020C22"/>
          <w:sz w:val="28"/>
          <w:szCs w:val="28"/>
          <w:lang w:eastAsia="ru-RU"/>
        </w:rPr>
        <w:t xml:space="preserve"> является постоянно действующим координационным и совещательным органом при Правительстве Российской </w:t>
      </w:r>
      <w:r w:rsidRPr="00E26317">
        <w:rPr>
          <w:rFonts w:eastAsia="Times New Roman"/>
          <w:color w:val="020C22"/>
          <w:sz w:val="28"/>
          <w:szCs w:val="28"/>
          <w:lang w:eastAsia="ru-RU"/>
        </w:rPr>
        <w:lastRenderedPageBreak/>
        <w:t>Федерации</w:t>
      </w:r>
      <w:r w:rsidR="003438AA">
        <w:rPr>
          <w:rStyle w:val="ac"/>
          <w:rFonts w:eastAsia="Times New Roman"/>
          <w:color w:val="020C22"/>
          <w:sz w:val="28"/>
          <w:szCs w:val="28"/>
          <w:lang w:eastAsia="ru-RU"/>
        </w:rPr>
        <w:footnoteReference w:id="1"/>
      </w:r>
      <w:r w:rsidRPr="00E26317">
        <w:rPr>
          <w:rFonts w:eastAsia="Times New Roman"/>
          <w:color w:val="020C22"/>
          <w:sz w:val="28"/>
          <w:szCs w:val="28"/>
          <w:lang w:eastAsia="ru-RU"/>
        </w:rPr>
        <w:t xml:space="preserve">, образованным в целях обеспечения эффективного взаимодействия государственных органов, профессиональных лизинговых объединений, бизнес-сообщества в </w:t>
      </w:r>
      <w:r w:rsidR="002C5C1A">
        <w:rPr>
          <w:rFonts w:eastAsia="Times New Roman"/>
          <w:color w:val="020C22"/>
          <w:sz w:val="28"/>
          <w:szCs w:val="28"/>
          <w:lang w:eastAsia="ru-RU"/>
        </w:rPr>
        <w:t>разработки</w:t>
      </w:r>
      <w:r w:rsidR="003438AA" w:rsidRPr="003438AA">
        <w:rPr>
          <w:rFonts w:eastAsia="Times New Roman"/>
          <w:color w:val="020C22"/>
          <w:sz w:val="28"/>
          <w:szCs w:val="28"/>
          <w:lang w:eastAsia="ru-RU"/>
        </w:rPr>
        <w:t xml:space="preserve"> и реализаци</w:t>
      </w:r>
      <w:r w:rsidR="003438AA">
        <w:rPr>
          <w:rFonts w:eastAsia="Times New Roman"/>
          <w:color w:val="020C22"/>
          <w:sz w:val="28"/>
          <w:szCs w:val="28"/>
          <w:lang w:eastAsia="ru-RU"/>
        </w:rPr>
        <w:t>и</w:t>
      </w:r>
      <w:r w:rsidR="003438AA" w:rsidRPr="003438AA">
        <w:rPr>
          <w:rFonts w:eastAsia="Times New Roman"/>
          <w:color w:val="020C22"/>
          <w:sz w:val="28"/>
          <w:szCs w:val="28"/>
          <w:lang w:eastAsia="ru-RU"/>
        </w:rPr>
        <w:t xml:space="preserve"> государственной политики в сфере лизинговой деятельности</w:t>
      </w:r>
    </w:p>
    <w:p w14:paraId="359DF813" w14:textId="77777777" w:rsidR="0059701F" w:rsidRPr="00E26317" w:rsidRDefault="0059701F" w:rsidP="0059701F">
      <w:pPr>
        <w:ind w:firstLine="48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</w:p>
    <w:p w14:paraId="2C0AB27A" w14:textId="4D0EBF10" w:rsidR="00CD1B01" w:rsidRDefault="0059701F" w:rsidP="0059701F">
      <w:pPr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E26317">
        <w:rPr>
          <w:rFonts w:eastAsia="Times New Roman"/>
          <w:color w:val="020C22"/>
          <w:sz w:val="28"/>
          <w:szCs w:val="28"/>
          <w:lang w:eastAsia="ru-RU"/>
        </w:rPr>
        <w:t xml:space="preserve">В состав Межведомственной комиссии </w:t>
      </w:r>
      <w:r w:rsidR="003438AA">
        <w:rPr>
          <w:rFonts w:eastAsia="Times New Roman"/>
          <w:color w:val="020C22"/>
          <w:sz w:val="28"/>
          <w:szCs w:val="28"/>
          <w:lang w:eastAsia="ru-RU"/>
        </w:rPr>
        <w:t xml:space="preserve">должны войти </w:t>
      </w:r>
      <w:r w:rsidRPr="00E26317">
        <w:rPr>
          <w:rFonts w:eastAsia="Times New Roman"/>
          <w:color w:val="020C22"/>
          <w:sz w:val="28"/>
          <w:szCs w:val="28"/>
          <w:lang w:eastAsia="ru-RU"/>
        </w:rPr>
        <w:t>представители Аппарата Правительства Российской Федерации</w:t>
      </w:r>
      <w:r>
        <w:rPr>
          <w:rFonts w:eastAsia="Times New Roman"/>
          <w:color w:val="020C22"/>
          <w:sz w:val="28"/>
          <w:szCs w:val="28"/>
          <w:lang w:eastAsia="ru-RU"/>
        </w:rPr>
        <w:t>, ГД РФ,</w:t>
      </w:r>
      <w:r w:rsidRPr="00E26317">
        <w:rPr>
          <w:rFonts w:eastAsia="Times New Roman"/>
          <w:color w:val="020C22"/>
          <w:sz w:val="28"/>
          <w:szCs w:val="28"/>
          <w:lang w:eastAsia="ru-RU"/>
        </w:rPr>
        <w:t xml:space="preserve"> МИДа России, </w:t>
      </w:r>
      <w:proofErr w:type="spellStart"/>
      <w:r w:rsidRPr="00E26317">
        <w:rPr>
          <w:rFonts w:eastAsia="Times New Roman"/>
          <w:color w:val="020C22"/>
          <w:sz w:val="28"/>
          <w:szCs w:val="28"/>
          <w:lang w:eastAsia="ru-RU"/>
        </w:rPr>
        <w:t>Минцифры</w:t>
      </w:r>
      <w:proofErr w:type="spellEnd"/>
      <w:r w:rsidRPr="00E26317">
        <w:rPr>
          <w:rFonts w:eastAsia="Times New Roman"/>
          <w:color w:val="020C22"/>
          <w:sz w:val="28"/>
          <w:szCs w:val="28"/>
          <w:lang w:eastAsia="ru-RU"/>
        </w:rPr>
        <w:t xml:space="preserve"> России, Минюста России, Минпрома России, Минэкономразвития России, Минсельхоза России, Минтранса России, ФАС России, Росфинмониторинга, Банка России, ТПП РФ, РСПП, Деловая Россия, Опора России,</w:t>
      </w:r>
    </w:p>
    <w:p w14:paraId="5C9CEE4C" w14:textId="77777777" w:rsidR="00CD1B01" w:rsidRDefault="00CD1B01" w:rsidP="0059701F">
      <w:pPr>
        <w:jc w:val="both"/>
        <w:rPr>
          <w:rFonts w:eastAsia="Times New Roman"/>
          <w:color w:val="020C22"/>
          <w:sz w:val="28"/>
          <w:szCs w:val="28"/>
          <w:lang w:eastAsia="ru-RU"/>
        </w:rPr>
      </w:pPr>
    </w:p>
    <w:p w14:paraId="0842C32D" w14:textId="29439CB1" w:rsidR="0059701F" w:rsidRDefault="00CD1B01" w:rsidP="0059701F">
      <w:pPr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 xml:space="preserve">В состав </w:t>
      </w:r>
      <w:r w:rsidRPr="00E26317">
        <w:rPr>
          <w:rFonts w:eastAsia="Times New Roman"/>
          <w:color w:val="020C22"/>
          <w:sz w:val="28"/>
          <w:szCs w:val="28"/>
          <w:lang w:eastAsia="ru-RU"/>
        </w:rPr>
        <w:t xml:space="preserve">Межведомственной комиссии 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прямо или опосредованно (через </w:t>
      </w:r>
      <w:r w:rsidR="00A13B9E">
        <w:rPr>
          <w:rFonts w:eastAsia="Times New Roman"/>
          <w:color w:val="020C22"/>
          <w:sz w:val="28"/>
          <w:szCs w:val="28"/>
          <w:lang w:eastAsia="ru-RU"/>
        </w:rPr>
        <w:t xml:space="preserve">экспертный совет или 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рабочую группу </w:t>
      </w:r>
      <w:r w:rsidRPr="00E26317">
        <w:rPr>
          <w:rFonts w:eastAsia="Times New Roman"/>
          <w:color w:val="020C22"/>
          <w:sz w:val="28"/>
          <w:szCs w:val="28"/>
          <w:lang w:eastAsia="ru-RU"/>
        </w:rPr>
        <w:t>Межведомственной комисси</w:t>
      </w:r>
      <w:r>
        <w:rPr>
          <w:rFonts w:eastAsia="Times New Roman"/>
          <w:color w:val="020C22"/>
          <w:sz w:val="28"/>
          <w:szCs w:val="28"/>
          <w:lang w:eastAsia="ru-RU"/>
        </w:rPr>
        <w:t>и)</w:t>
      </w:r>
      <w:r w:rsidRPr="00E26317">
        <w:rPr>
          <w:rFonts w:eastAsia="Times New Roman"/>
          <w:color w:val="020C2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должны войти профессиональные лизинговые объединения - </w:t>
      </w:r>
      <w:r w:rsidR="0059701F" w:rsidRPr="00E26317">
        <w:rPr>
          <w:rFonts w:eastAsia="Times New Roman"/>
          <w:color w:val="020C22"/>
          <w:sz w:val="28"/>
          <w:szCs w:val="28"/>
          <w:lang w:eastAsia="ru-RU"/>
        </w:rPr>
        <w:t>НП «ЛИЗИНГОВЫЙ СОЮЗ», Объединенная лизинговая ассоциация.</w:t>
      </w:r>
    </w:p>
    <w:p w14:paraId="044659C3" w14:textId="77777777" w:rsidR="0059701F" w:rsidRPr="00E26317" w:rsidRDefault="0059701F" w:rsidP="0059701F">
      <w:pPr>
        <w:jc w:val="both"/>
        <w:rPr>
          <w:rFonts w:eastAsia="Times New Roman"/>
          <w:color w:val="020C22"/>
          <w:sz w:val="28"/>
          <w:szCs w:val="28"/>
          <w:lang w:eastAsia="ru-RU"/>
        </w:rPr>
      </w:pPr>
    </w:p>
    <w:p w14:paraId="19EE3B19" w14:textId="77777777" w:rsidR="0059701F" w:rsidRPr="00E26317" w:rsidRDefault="0059701F" w:rsidP="0059701F">
      <w:pPr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E26317">
        <w:rPr>
          <w:rFonts w:eastAsia="Times New Roman"/>
          <w:color w:val="020C22"/>
          <w:sz w:val="28"/>
          <w:szCs w:val="28"/>
          <w:lang w:eastAsia="ru-RU"/>
        </w:rPr>
        <w:t>В состав Межведомственной комиссии могут входить представители иных органов и организаций.</w:t>
      </w:r>
    </w:p>
    <w:p w14:paraId="69C12D19" w14:textId="77777777" w:rsidR="00F93AFE" w:rsidRDefault="00F93AFE" w:rsidP="0059701F">
      <w:pPr>
        <w:ind w:firstLine="48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</w:p>
    <w:p w14:paraId="2659F6A3" w14:textId="6DFFA928" w:rsidR="00744214" w:rsidRDefault="009D723A" w:rsidP="0059701F">
      <w:pPr>
        <w:ind w:firstLine="48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E26317">
        <w:rPr>
          <w:rFonts w:eastAsia="Times New Roman"/>
          <w:color w:val="444444"/>
          <w:sz w:val="28"/>
          <w:szCs w:val="28"/>
          <w:lang w:eastAsia="ru-RU"/>
        </w:rPr>
        <w:t xml:space="preserve">Основными </w:t>
      </w:r>
      <w:r w:rsidR="00A13B9E">
        <w:rPr>
          <w:rFonts w:eastAsia="Times New Roman"/>
          <w:color w:val="444444"/>
          <w:sz w:val="28"/>
          <w:szCs w:val="28"/>
          <w:lang w:eastAsia="ru-RU"/>
        </w:rPr>
        <w:t xml:space="preserve">целями организации </w:t>
      </w:r>
      <w:r w:rsidRPr="00E26317">
        <w:rPr>
          <w:rFonts w:eastAsia="Times New Roman"/>
          <w:color w:val="444444"/>
          <w:sz w:val="28"/>
          <w:szCs w:val="28"/>
          <w:lang w:eastAsia="ru-RU"/>
        </w:rPr>
        <w:t>Комиссии являются:</w:t>
      </w:r>
    </w:p>
    <w:p w14:paraId="7F717132" w14:textId="6457A4C1" w:rsidR="009D723A" w:rsidRPr="00E26317" w:rsidRDefault="009D723A" w:rsidP="0059701F">
      <w:pPr>
        <w:ind w:firstLine="48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</w:p>
    <w:p w14:paraId="2CDD2925" w14:textId="51D1B207" w:rsidR="003438AA" w:rsidRPr="003438AA" w:rsidRDefault="003438AA" w:rsidP="003438AA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3438AA">
        <w:rPr>
          <w:rFonts w:eastAsia="Times New Roman"/>
          <w:color w:val="444444"/>
          <w:sz w:val="28"/>
          <w:szCs w:val="28"/>
          <w:lang w:eastAsia="ru-RU"/>
        </w:rPr>
        <w:t xml:space="preserve">Определение </w:t>
      </w:r>
      <w:r>
        <w:rPr>
          <w:rFonts w:eastAsia="Times New Roman"/>
          <w:color w:val="444444"/>
          <w:sz w:val="28"/>
          <w:szCs w:val="28"/>
          <w:lang w:eastAsia="ru-RU"/>
        </w:rPr>
        <w:t>приоритетных</w:t>
      </w:r>
      <w:r w:rsidRPr="003438AA">
        <w:rPr>
          <w:rFonts w:eastAsia="Times New Roman"/>
          <w:color w:val="444444"/>
          <w:sz w:val="28"/>
          <w:szCs w:val="28"/>
          <w:lang w:eastAsia="ru-RU"/>
        </w:rPr>
        <w:t xml:space="preserve"> направлений развития </w:t>
      </w:r>
      <w:r w:rsidRPr="003438AA">
        <w:rPr>
          <w:rFonts w:eastAsia="Times New Roman"/>
          <w:color w:val="444444"/>
          <w:sz w:val="28"/>
          <w:szCs w:val="28"/>
          <w:lang w:eastAsia="ru-RU"/>
        </w:rPr>
        <w:br/>
        <w:t>лизинговой деятельности в Российской Федерации, включая выработку мер государственной поддержки в данной сфере деятельности</w:t>
      </w:r>
      <w:r>
        <w:rPr>
          <w:rFonts w:eastAsia="Times New Roman"/>
          <w:color w:val="444444"/>
          <w:sz w:val="28"/>
          <w:szCs w:val="28"/>
          <w:lang w:eastAsia="ru-RU"/>
        </w:rPr>
        <w:t>;</w:t>
      </w:r>
    </w:p>
    <w:p w14:paraId="236DCD2F" w14:textId="204ECE21" w:rsidR="003438AA" w:rsidRPr="003438AA" w:rsidRDefault="003438AA" w:rsidP="003E0039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С</w:t>
      </w:r>
      <w:r w:rsidR="00E26317" w:rsidRPr="00181CF2">
        <w:rPr>
          <w:rFonts w:eastAsia="Times New Roman"/>
          <w:color w:val="444444"/>
          <w:sz w:val="28"/>
          <w:szCs w:val="28"/>
          <w:lang w:eastAsia="ru-RU"/>
        </w:rPr>
        <w:t>овершенствовани</w:t>
      </w:r>
      <w:r>
        <w:rPr>
          <w:rFonts w:eastAsia="Times New Roman"/>
          <w:color w:val="444444"/>
          <w:sz w:val="28"/>
          <w:szCs w:val="28"/>
          <w:lang w:eastAsia="ru-RU"/>
        </w:rPr>
        <w:t>е</w:t>
      </w:r>
      <w:r w:rsidR="00E26317" w:rsidRPr="00181CF2">
        <w:rPr>
          <w:rFonts w:eastAsia="Times New Roman"/>
          <w:color w:val="444444"/>
          <w:sz w:val="28"/>
          <w:szCs w:val="28"/>
          <w:lang w:eastAsia="ru-RU"/>
        </w:rPr>
        <w:t xml:space="preserve"> национальной нормативной базы и организация </w:t>
      </w:r>
      <w:r w:rsidR="009D723A" w:rsidRPr="00181CF2">
        <w:rPr>
          <w:rFonts w:eastAsia="Times New Roman"/>
          <w:color w:val="444444"/>
          <w:sz w:val="28"/>
          <w:szCs w:val="28"/>
          <w:lang w:eastAsia="ru-RU"/>
        </w:rPr>
        <w:t>подготовки проектов федеральных законов и иных нормативных правовых актов в сфере лизинга;</w:t>
      </w:r>
    </w:p>
    <w:p w14:paraId="7F292917" w14:textId="68601759" w:rsidR="00E26317" w:rsidRDefault="00744214" w:rsidP="003E0039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color w:val="464C55"/>
          <w:sz w:val="28"/>
          <w:szCs w:val="28"/>
        </w:rPr>
      </w:pPr>
      <w:r w:rsidRPr="00181CF2">
        <w:rPr>
          <w:color w:val="464C55"/>
          <w:sz w:val="28"/>
          <w:szCs w:val="28"/>
        </w:rPr>
        <w:t xml:space="preserve">Формирование предложений по разработке </w:t>
      </w:r>
      <w:r w:rsidR="00E26317" w:rsidRPr="00181CF2">
        <w:rPr>
          <w:color w:val="464C55"/>
          <w:sz w:val="28"/>
          <w:szCs w:val="28"/>
        </w:rPr>
        <w:t>проектов целевых федеральных программ, с использованием лизинга</w:t>
      </w:r>
      <w:r w:rsidRPr="00181CF2">
        <w:rPr>
          <w:color w:val="464C55"/>
          <w:sz w:val="28"/>
          <w:szCs w:val="28"/>
        </w:rPr>
        <w:t xml:space="preserve">. Экспертиза и </w:t>
      </w:r>
      <w:r w:rsidR="002B05C8" w:rsidRPr="00181CF2">
        <w:rPr>
          <w:color w:val="464C55"/>
          <w:sz w:val="28"/>
          <w:szCs w:val="28"/>
        </w:rPr>
        <w:t>анализ эффективности действующих программ.</w:t>
      </w:r>
    </w:p>
    <w:p w14:paraId="496C918A" w14:textId="41BF1ABF" w:rsidR="003438AA" w:rsidRPr="00181CF2" w:rsidRDefault="003438AA" w:rsidP="003E0039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color w:val="464C55"/>
          <w:sz w:val="28"/>
          <w:szCs w:val="28"/>
        </w:rPr>
      </w:pPr>
      <w:r w:rsidRPr="003438AA">
        <w:rPr>
          <w:color w:val="464C55"/>
          <w:sz w:val="28"/>
          <w:szCs w:val="28"/>
        </w:rPr>
        <w:t>Обеспечение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 по вопросам</w:t>
      </w:r>
      <w:r>
        <w:rPr>
          <w:color w:val="464C55"/>
          <w:sz w:val="28"/>
          <w:szCs w:val="28"/>
        </w:rPr>
        <w:t xml:space="preserve"> лизинговой деятельности.</w:t>
      </w:r>
    </w:p>
    <w:p w14:paraId="56946F0A" w14:textId="5AD1E96D" w:rsidR="003438AA" w:rsidRDefault="003438AA" w:rsidP="003438AA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3438AA">
        <w:rPr>
          <w:rFonts w:eastAsia="Times New Roman"/>
          <w:color w:val="444444"/>
          <w:sz w:val="28"/>
          <w:szCs w:val="28"/>
          <w:lang w:eastAsia="ru-RU"/>
        </w:rPr>
        <w:t xml:space="preserve">Формирование согласованной позиции по вопросам 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развития лизинговой деятельности </w:t>
      </w:r>
      <w:r w:rsidRPr="003438AA">
        <w:rPr>
          <w:rFonts w:eastAsia="Times New Roman"/>
          <w:color w:val="444444"/>
          <w:sz w:val="28"/>
          <w:szCs w:val="28"/>
          <w:lang w:eastAsia="ru-RU"/>
        </w:rPr>
        <w:t>в Евразийском экономическом союзе</w:t>
      </w:r>
      <w:r>
        <w:rPr>
          <w:rFonts w:eastAsia="Times New Roman"/>
          <w:color w:val="444444"/>
          <w:sz w:val="28"/>
          <w:szCs w:val="28"/>
          <w:lang w:eastAsia="ru-RU"/>
        </w:rPr>
        <w:t>.</w:t>
      </w:r>
    </w:p>
    <w:p w14:paraId="251605B5" w14:textId="06571A31" w:rsidR="009943A5" w:rsidRDefault="00744214" w:rsidP="003438AA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DC7C57">
        <w:rPr>
          <w:rFonts w:eastAsia="Times New Roman"/>
          <w:color w:val="444444"/>
          <w:sz w:val="28"/>
          <w:szCs w:val="28"/>
          <w:lang w:eastAsia="ru-RU"/>
        </w:rPr>
        <w:t>Формирование</w:t>
      </w:r>
      <w:r w:rsidR="009D723A" w:rsidRPr="00DC7C57">
        <w:rPr>
          <w:rFonts w:eastAsia="Times New Roman"/>
          <w:color w:val="444444"/>
          <w:sz w:val="28"/>
          <w:szCs w:val="28"/>
          <w:lang w:eastAsia="ru-RU"/>
        </w:rPr>
        <w:t xml:space="preserve"> согласованной позиции по вопросам международного сотрудничества в сфере </w:t>
      </w:r>
      <w:r w:rsidR="00DC7C57">
        <w:rPr>
          <w:rFonts w:eastAsia="Times New Roman"/>
          <w:color w:val="444444"/>
          <w:sz w:val="28"/>
          <w:szCs w:val="28"/>
          <w:lang w:eastAsia="ru-RU"/>
        </w:rPr>
        <w:t>лизинга.</w:t>
      </w:r>
    </w:p>
    <w:p w14:paraId="4FB88A33" w14:textId="6CA2261D" w:rsidR="003438AA" w:rsidRDefault="003438AA" w:rsidP="0059701F">
      <w:pPr>
        <w:jc w:val="both"/>
        <w:rPr>
          <w:sz w:val="28"/>
          <w:szCs w:val="28"/>
        </w:rPr>
      </w:pPr>
    </w:p>
    <w:p w14:paraId="2AFA8390" w14:textId="4B11FF94" w:rsidR="00A13B9E" w:rsidRDefault="00A13B9E" w:rsidP="0059701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Комиссии:</w:t>
      </w:r>
    </w:p>
    <w:p w14:paraId="0C86BF4A" w14:textId="77777777" w:rsidR="00A13B9E" w:rsidRDefault="00A13B9E" w:rsidP="0059701F">
      <w:pPr>
        <w:jc w:val="both"/>
        <w:rPr>
          <w:sz w:val="28"/>
          <w:szCs w:val="28"/>
        </w:rPr>
      </w:pPr>
    </w:p>
    <w:p w14:paraId="71B6BBE1" w14:textId="77777777" w:rsidR="00A13B9E" w:rsidRPr="00254D49" w:rsidRDefault="00A13B9E" w:rsidP="00A13B9E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254D49">
        <w:rPr>
          <w:rFonts w:eastAsia="Times New Roman"/>
          <w:color w:val="444444"/>
          <w:sz w:val="28"/>
          <w:szCs w:val="28"/>
          <w:lang w:eastAsia="ru-RU"/>
        </w:rPr>
        <w:t>Повышение инвестиционного потенциала лизинга. Увеличение доли лизинга в общем объеме инвестиций в основные фонды до 30%; доля лизинга в ВВП до 4–5%.</w:t>
      </w:r>
    </w:p>
    <w:p w14:paraId="1B51F18C" w14:textId="77777777" w:rsidR="00A13B9E" w:rsidRPr="00254D49" w:rsidRDefault="00A13B9E" w:rsidP="00A13B9E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254D49">
        <w:rPr>
          <w:rFonts w:eastAsia="Times New Roman"/>
          <w:color w:val="444444"/>
          <w:sz w:val="28"/>
          <w:szCs w:val="28"/>
          <w:lang w:eastAsia="ru-RU"/>
        </w:rPr>
        <w:t>Создание скоординированной системы поддержки бизнеса с использованием механизма лизинга (реализации госпрограмм с участием лизинга).</w:t>
      </w:r>
    </w:p>
    <w:p w14:paraId="4C141965" w14:textId="0E5E4C0D" w:rsidR="00A13B9E" w:rsidRDefault="00A13B9E" w:rsidP="00A13B9E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254D49">
        <w:rPr>
          <w:rFonts w:eastAsia="Times New Roman"/>
          <w:color w:val="444444"/>
          <w:sz w:val="28"/>
          <w:szCs w:val="28"/>
          <w:lang w:eastAsia="ru-RU"/>
        </w:rPr>
        <w:t>Увеличение доли высокотехнологичного оборудования в общем объеме лизингового оборудования.</w:t>
      </w:r>
    </w:p>
    <w:p w14:paraId="0F0B9DE4" w14:textId="6135A52C" w:rsidR="00057FF4" w:rsidRDefault="00057FF4" w:rsidP="00057FF4">
      <w:pPr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</w:p>
    <w:p w14:paraId="620E6F7C" w14:textId="16F63075" w:rsidR="00057FF4" w:rsidRDefault="00057FF4" w:rsidP="00057FF4">
      <w:pPr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Актуальные вопросы лизинговой отрасли сегодня:</w:t>
      </w:r>
    </w:p>
    <w:p w14:paraId="7DADC1DB" w14:textId="0DF2E818" w:rsidR="00057FF4" w:rsidRDefault="00057FF4" w:rsidP="00057FF4">
      <w:pPr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</w:p>
    <w:p w14:paraId="3ABEAC2C" w14:textId="622AFA05" w:rsidR="00057FF4" w:rsidRDefault="00057FF4" w:rsidP="00057FF4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Законодательные инициативы, стимулирующие рост лизинга оборудования </w:t>
      </w:r>
      <w:r w:rsidR="002E5639">
        <w:rPr>
          <w:rFonts w:eastAsia="Times New Roman"/>
          <w:color w:val="444444"/>
          <w:sz w:val="28"/>
          <w:szCs w:val="28"/>
          <w:lang w:eastAsia="ru-RU"/>
        </w:rPr>
        <w:t xml:space="preserve">и недвижимости </w:t>
      </w:r>
      <w:r>
        <w:rPr>
          <w:rFonts w:eastAsia="Times New Roman"/>
          <w:color w:val="444444"/>
          <w:sz w:val="28"/>
          <w:szCs w:val="28"/>
          <w:lang w:eastAsia="ru-RU"/>
        </w:rPr>
        <w:t>в стратегически важных отраслях.</w:t>
      </w:r>
    </w:p>
    <w:p w14:paraId="0D6C33D6" w14:textId="7C3166B3" w:rsidR="007C275B" w:rsidRDefault="007C275B" w:rsidP="00057FF4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Вопросы, связанные с участием лизинговых компаний в госпрограммах субсидирования.</w:t>
      </w:r>
    </w:p>
    <w:p w14:paraId="78101981" w14:textId="7EF4B5F1" w:rsidR="007C275B" w:rsidRDefault="007C275B" w:rsidP="00057FF4">
      <w:pPr>
        <w:pStyle w:val="a5"/>
        <w:numPr>
          <w:ilvl w:val="0"/>
          <w:numId w:val="22"/>
        </w:numPr>
        <w:ind w:left="0" w:firstLine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Вопросы по участию российских лизинговых компаний в госпрограммах субсидирования в странах ЕАЭС и участие лизинговых компаний стран Союза в госпрограммах в РФ.</w:t>
      </w:r>
    </w:p>
    <w:p w14:paraId="0CF4DDDB" w14:textId="77777777" w:rsidR="007C275B" w:rsidRDefault="007C275B" w:rsidP="007C275B">
      <w:pPr>
        <w:pStyle w:val="a5"/>
        <w:ind w:lef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</w:p>
    <w:p w14:paraId="7ECE3B95" w14:textId="77777777" w:rsidR="007C275B" w:rsidRPr="00057FF4" w:rsidRDefault="007C275B" w:rsidP="007C275B">
      <w:pPr>
        <w:pStyle w:val="a5"/>
        <w:ind w:left="0"/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</w:p>
    <w:p w14:paraId="360D1DA6" w14:textId="77777777" w:rsidR="00A13B9E" w:rsidRDefault="00A13B9E" w:rsidP="00A13B9E">
      <w:pPr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</w:p>
    <w:p w14:paraId="31AC5124" w14:textId="47B9981B" w:rsidR="00A13B9E" w:rsidRPr="00A13B9E" w:rsidRDefault="00A13B9E" w:rsidP="00A13B9E">
      <w:pPr>
        <w:jc w:val="both"/>
        <w:textAlignment w:val="baseline"/>
        <w:rPr>
          <w:rFonts w:eastAsia="Times New Roman"/>
          <w:color w:val="444444"/>
          <w:sz w:val="28"/>
          <w:szCs w:val="28"/>
          <w:lang w:eastAsia="ru-RU"/>
        </w:rPr>
      </w:pPr>
      <w:r w:rsidRPr="00A13B9E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</w:p>
    <w:p w14:paraId="49CD3363" w14:textId="3AB19E48" w:rsidR="003438AA" w:rsidRPr="00E26317" w:rsidRDefault="003438AA" w:rsidP="0059701F">
      <w:pPr>
        <w:jc w:val="both"/>
        <w:rPr>
          <w:sz w:val="28"/>
          <w:szCs w:val="28"/>
        </w:rPr>
      </w:pPr>
    </w:p>
    <w:sectPr w:rsidR="003438AA" w:rsidRPr="00E26317" w:rsidSect="006208AD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D0984" w14:textId="77777777" w:rsidR="00DC4155" w:rsidRDefault="00DC4155" w:rsidP="003438AA">
      <w:r>
        <w:separator/>
      </w:r>
    </w:p>
  </w:endnote>
  <w:endnote w:type="continuationSeparator" w:id="0">
    <w:p w14:paraId="16379CF0" w14:textId="77777777" w:rsidR="00DC4155" w:rsidRDefault="00DC4155" w:rsidP="0034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EEAEE" w14:textId="77777777" w:rsidR="00DC4155" w:rsidRDefault="00DC4155" w:rsidP="003438AA">
      <w:r>
        <w:separator/>
      </w:r>
    </w:p>
  </w:footnote>
  <w:footnote w:type="continuationSeparator" w:id="0">
    <w:p w14:paraId="21E7AE60" w14:textId="77777777" w:rsidR="00DC4155" w:rsidRDefault="00DC4155" w:rsidP="003438AA">
      <w:r>
        <w:continuationSeparator/>
      </w:r>
    </w:p>
  </w:footnote>
  <w:footnote w:id="1">
    <w:p w14:paraId="2163EC07" w14:textId="7552E82E" w:rsidR="003438AA" w:rsidRPr="003438AA" w:rsidRDefault="003438AA" w:rsidP="003438AA">
      <w:pPr>
        <w:pStyle w:val="a4"/>
        <w:spacing w:before="0" w:beforeAutospacing="0" w:after="0" w:afterAutospacing="0" w:line="345" w:lineRule="atLeast"/>
        <w:textAlignment w:val="baseline"/>
        <w:rPr>
          <w:color w:val="204E8A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3438AA">
        <w:rPr>
          <w:sz w:val="20"/>
          <w:szCs w:val="20"/>
        </w:rPr>
        <w:t>Справочно</w:t>
      </w:r>
      <w:proofErr w:type="spellEnd"/>
      <w:r w:rsidRPr="003438AA">
        <w:rPr>
          <w:sz w:val="20"/>
          <w:szCs w:val="20"/>
        </w:rPr>
        <w:t xml:space="preserve">: </w:t>
      </w:r>
      <w:r w:rsidRPr="003438AA">
        <w:rPr>
          <w:iCs/>
          <w:color w:val="333333"/>
          <w:sz w:val="20"/>
          <w:szCs w:val="20"/>
        </w:rPr>
        <w:t>Координационные и совещательные органы Правительства систематизированы по их руководителям</w:t>
      </w:r>
      <w:r>
        <w:rPr>
          <w:iCs/>
          <w:color w:val="333333"/>
          <w:sz w:val="20"/>
          <w:szCs w:val="20"/>
        </w:rPr>
        <w:t xml:space="preserve">: </w:t>
      </w:r>
      <w:hyperlink r:id="rId1" w:anchor="person-151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М.В.Мишустин</w:t>
        </w:r>
        <w:proofErr w:type="spellEnd"/>
      </w:hyperlink>
      <w:r>
        <w:rPr>
          <w:color w:val="204E8A"/>
          <w:sz w:val="20"/>
          <w:szCs w:val="20"/>
        </w:rPr>
        <w:t xml:space="preserve">; </w:t>
      </w:r>
      <w:hyperlink r:id="rId2" w:anchor="person-123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А.Р.Белоусов</w:t>
        </w:r>
        <w:proofErr w:type="spellEnd"/>
      </w:hyperlink>
      <w:r>
        <w:rPr>
          <w:color w:val="204E8A"/>
          <w:sz w:val="20"/>
          <w:szCs w:val="20"/>
        </w:rPr>
        <w:t xml:space="preserve">; </w:t>
      </w:r>
      <w:hyperlink r:id="rId3" w:anchor="person-505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В.В.Абрамченко</w:t>
        </w:r>
        <w:proofErr w:type="spellEnd"/>
      </w:hyperlink>
      <w:r>
        <w:rPr>
          <w:color w:val="204E8A"/>
          <w:sz w:val="20"/>
          <w:szCs w:val="20"/>
        </w:rPr>
        <w:t xml:space="preserve">; </w:t>
      </w:r>
      <w:hyperlink r:id="rId4" w:anchor="person-12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Т.А.Голикова</w:t>
        </w:r>
        <w:proofErr w:type="spellEnd"/>
      </w:hyperlink>
      <w:r>
        <w:rPr>
          <w:color w:val="204E8A"/>
          <w:sz w:val="20"/>
          <w:szCs w:val="20"/>
        </w:rPr>
        <w:t xml:space="preserve">; </w:t>
      </w:r>
      <w:hyperlink r:id="rId5" w:anchor="person-621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Д.Ю.Григоренко</w:t>
        </w:r>
        <w:proofErr w:type="spellEnd"/>
      </w:hyperlink>
      <w:r>
        <w:rPr>
          <w:color w:val="204E8A"/>
          <w:sz w:val="20"/>
          <w:szCs w:val="20"/>
        </w:rPr>
        <w:t xml:space="preserve">; </w:t>
      </w:r>
      <w:hyperlink r:id="rId6" w:anchor="person-175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Д.В.Мантуров</w:t>
        </w:r>
        <w:proofErr w:type="spellEnd"/>
      </w:hyperlink>
      <w:r>
        <w:rPr>
          <w:color w:val="204E8A"/>
          <w:sz w:val="20"/>
          <w:szCs w:val="20"/>
        </w:rPr>
        <w:t xml:space="preserve">; </w:t>
      </w:r>
      <w:hyperlink r:id="rId7" w:anchor="person-187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А.В.Новак</w:t>
        </w:r>
        <w:proofErr w:type="spellEnd"/>
      </w:hyperlink>
      <w:r>
        <w:rPr>
          <w:color w:val="204E8A"/>
          <w:sz w:val="20"/>
          <w:szCs w:val="20"/>
        </w:rPr>
        <w:t xml:space="preserve">; </w:t>
      </w:r>
      <w:hyperlink r:id="rId8" w:anchor="person-622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А.Л.Оверчук</w:t>
        </w:r>
        <w:proofErr w:type="spellEnd"/>
      </w:hyperlink>
      <w:r>
        <w:rPr>
          <w:color w:val="204E8A"/>
          <w:sz w:val="20"/>
          <w:szCs w:val="20"/>
        </w:rPr>
        <w:t xml:space="preserve">; </w:t>
      </w:r>
      <w:hyperlink r:id="rId9" w:anchor="person-21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Ю.П.Трутнев</w:t>
        </w:r>
        <w:proofErr w:type="spellEnd"/>
      </w:hyperlink>
      <w:r>
        <w:rPr>
          <w:color w:val="204E8A"/>
          <w:sz w:val="20"/>
          <w:szCs w:val="20"/>
        </w:rPr>
        <w:t xml:space="preserve">; </w:t>
      </w:r>
      <w:hyperlink r:id="rId10" w:anchor="person-620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М.Ш.Хуснуллин</w:t>
        </w:r>
        <w:proofErr w:type="spellEnd"/>
      </w:hyperlink>
      <w:r>
        <w:rPr>
          <w:color w:val="204E8A"/>
          <w:sz w:val="20"/>
          <w:szCs w:val="20"/>
        </w:rPr>
        <w:t xml:space="preserve">; </w:t>
      </w:r>
      <w:hyperlink r:id="rId11" w:anchor="person-366" w:history="1">
        <w:proofErr w:type="spellStart"/>
        <w:r w:rsidRPr="003438AA">
          <w:rPr>
            <w:rStyle w:val="a3"/>
            <w:color w:val="204E8A"/>
            <w:sz w:val="20"/>
            <w:szCs w:val="20"/>
            <w:bdr w:val="none" w:sz="0" w:space="0" w:color="auto" w:frame="1"/>
          </w:rPr>
          <w:t>Д.Н.Чернышенко</w:t>
        </w:r>
        <w:proofErr w:type="spellEnd"/>
      </w:hyperlink>
    </w:p>
    <w:p w14:paraId="11627EF2" w14:textId="77777777" w:rsidR="003438AA" w:rsidRPr="003438AA" w:rsidRDefault="003438AA" w:rsidP="003438AA">
      <w:pPr>
        <w:jc w:val="both"/>
        <w:rPr>
          <w:sz w:val="20"/>
          <w:szCs w:val="20"/>
        </w:rPr>
      </w:pPr>
    </w:p>
    <w:p w14:paraId="202CB5F6" w14:textId="290EE906" w:rsidR="003438AA" w:rsidRPr="003438AA" w:rsidRDefault="003438AA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1507139"/>
      <w:docPartObj>
        <w:docPartGallery w:val="Page Numbers (Top of Page)"/>
        <w:docPartUnique/>
      </w:docPartObj>
    </w:sdtPr>
    <w:sdtEndPr/>
    <w:sdtContent>
      <w:p w14:paraId="21233ADD" w14:textId="14B13D1E" w:rsidR="006208AD" w:rsidRDefault="006208A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F0DE4" w14:textId="77777777" w:rsidR="006208AD" w:rsidRDefault="006208A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142C"/>
    <w:multiLevelType w:val="multilevel"/>
    <w:tmpl w:val="41C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49A"/>
    <w:multiLevelType w:val="multilevel"/>
    <w:tmpl w:val="8DC0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234C2"/>
    <w:multiLevelType w:val="multilevel"/>
    <w:tmpl w:val="706C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72243"/>
    <w:multiLevelType w:val="hybridMultilevel"/>
    <w:tmpl w:val="4AD2B784"/>
    <w:lvl w:ilvl="0" w:tplc="89F037BC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927AC"/>
    <w:multiLevelType w:val="multilevel"/>
    <w:tmpl w:val="5900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A1780"/>
    <w:multiLevelType w:val="multilevel"/>
    <w:tmpl w:val="578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414F0"/>
    <w:multiLevelType w:val="multilevel"/>
    <w:tmpl w:val="FDD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71221"/>
    <w:multiLevelType w:val="multilevel"/>
    <w:tmpl w:val="6266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04CC5"/>
    <w:multiLevelType w:val="hybridMultilevel"/>
    <w:tmpl w:val="A404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646C1"/>
    <w:multiLevelType w:val="multilevel"/>
    <w:tmpl w:val="5B1A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E695E"/>
    <w:multiLevelType w:val="multilevel"/>
    <w:tmpl w:val="1F0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E648F"/>
    <w:multiLevelType w:val="multilevel"/>
    <w:tmpl w:val="19D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37C25"/>
    <w:multiLevelType w:val="multilevel"/>
    <w:tmpl w:val="C4D4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F08F2"/>
    <w:multiLevelType w:val="multilevel"/>
    <w:tmpl w:val="D30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25D72"/>
    <w:multiLevelType w:val="multilevel"/>
    <w:tmpl w:val="488E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F6014"/>
    <w:multiLevelType w:val="multilevel"/>
    <w:tmpl w:val="4A28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F4715"/>
    <w:multiLevelType w:val="multilevel"/>
    <w:tmpl w:val="64B8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A7F09"/>
    <w:multiLevelType w:val="multilevel"/>
    <w:tmpl w:val="C14E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00EC2"/>
    <w:multiLevelType w:val="multilevel"/>
    <w:tmpl w:val="CF0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E8340F"/>
    <w:multiLevelType w:val="multilevel"/>
    <w:tmpl w:val="BDF2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E959B4"/>
    <w:multiLevelType w:val="multilevel"/>
    <w:tmpl w:val="0BC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1426E5"/>
    <w:multiLevelType w:val="hybridMultilevel"/>
    <w:tmpl w:val="7FBE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C5EBD"/>
    <w:multiLevelType w:val="multilevel"/>
    <w:tmpl w:val="A300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36A25"/>
    <w:multiLevelType w:val="multilevel"/>
    <w:tmpl w:val="A8A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C47C8"/>
    <w:multiLevelType w:val="multilevel"/>
    <w:tmpl w:val="0F38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9"/>
  </w:num>
  <w:num w:numId="5">
    <w:abstractNumId w:val="14"/>
  </w:num>
  <w:num w:numId="6">
    <w:abstractNumId w:val="18"/>
  </w:num>
  <w:num w:numId="7">
    <w:abstractNumId w:val="4"/>
  </w:num>
  <w:num w:numId="8">
    <w:abstractNumId w:val="1"/>
  </w:num>
  <w:num w:numId="9">
    <w:abstractNumId w:val="19"/>
  </w:num>
  <w:num w:numId="10">
    <w:abstractNumId w:val="15"/>
  </w:num>
  <w:num w:numId="11">
    <w:abstractNumId w:val="17"/>
  </w:num>
  <w:num w:numId="12">
    <w:abstractNumId w:val="10"/>
  </w:num>
  <w:num w:numId="13">
    <w:abstractNumId w:val="6"/>
  </w:num>
  <w:num w:numId="14">
    <w:abstractNumId w:val="20"/>
  </w:num>
  <w:num w:numId="15">
    <w:abstractNumId w:val="22"/>
  </w:num>
  <w:num w:numId="16">
    <w:abstractNumId w:val="12"/>
  </w:num>
  <w:num w:numId="17">
    <w:abstractNumId w:val="7"/>
  </w:num>
  <w:num w:numId="18">
    <w:abstractNumId w:val="2"/>
  </w:num>
  <w:num w:numId="19">
    <w:abstractNumId w:val="23"/>
  </w:num>
  <w:num w:numId="20">
    <w:abstractNumId w:val="11"/>
  </w:num>
  <w:num w:numId="21">
    <w:abstractNumId w:val="16"/>
  </w:num>
  <w:num w:numId="22">
    <w:abstractNumId w:val="21"/>
  </w:num>
  <w:num w:numId="23">
    <w:abstractNumId w:val="8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6F"/>
    <w:rsid w:val="00057FF4"/>
    <w:rsid w:val="000E2063"/>
    <w:rsid w:val="0014476F"/>
    <w:rsid w:val="00181CF2"/>
    <w:rsid w:val="00254D49"/>
    <w:rsid w:val="002B05C8"/>
    <w:rsid w:val="002C5C1A"/>
    <w:rsid w:val="002E5639"/>
    <w:rsid w:val="003438AA"/>
    <w:rsid w:val="003E70F7"/>
    <w:rsid w:val="00457092"/>
    <w:rsid w:val="00577C31"/>
    <w:rsid w:val="00596591"/>
    <w:rsid w:val="0059701F"/>
    <w:rsid w:val="006208AD"/>
    <w:rsid w:val="00744214"/>
    <w:rsid w:val="00744E77"/>
    <w:rsid w:val="007C275B"/>
    <w:rsid w:val="007E33AB"/>
    <w:rsid w:val="009943A5"/>
    <w:rsid w:val="009B7669"/>
    <w:rsid w:val="009D723A"/>
    <w:rsid w:val="00A13B9E"/>
    <w:rsid w:val="00A13D8A"/>
    <w:rsid w:val="00A76E6A"/>
    <w:rsid w:val="00B16139"/>
    <w:rsid w:val="00B77EC6"/>
    <w:rsid w:val="00C970CF"/>
    <w:rsid w:val="00CD1B01"/>
    <w:rsid w:val="00CE2CF3"/>
    <w:rsid w:val="00CF3340"/>
    <w:rsid w:val="00D974BD"/>
    <w:rsid w:val="00DA2AAB"/>
    <w:rsid w:val="00DC13A6"/>
    <w:rsid w:val="00DC4155"/>
    <w:rsid w:val="00DC7C57"/>
    <w:rsid w:val="00E26317"/>
    <w:rsid w:val="00EE126A"/>
    <w:rsid w:val="00F507B8"/>
    <w:rsid w:val="00F9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E940"/>
  <w15:chartTrackingRefBased/>
  <w15:docId w15:val="{8B7A41C7-FFF0-401A-8812-03BBC301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970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C970CF"/>
    <w:rPr>
      <w:color w:val="0000FF"/>
      <w:u w:val="single"/>
    </w:rPr>
  </w:style>
  <w:style w:type="paragraph" w:customStyle="1" w:styleId="s9">
    <w:name w:val="s_9"/>
    <w:basedOn w:val="a"/>
    <w:rsid w:val="00C970C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C970C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">
    <w:name w:val="s_1"/>
    <w:basedOn w:val="a"/>
    <w:rsid w:val="00C970C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0">
    <w:name w:val="s_10"/>
    <w:basedOn w:val="a0"/>
    <w:rsid w:val="00C970CF"/>
  </w:style>
  <w:style w:type="paragraph" w:styleId="a5">
    <w:name w:val="List Paragraph"/>
    <w:aliases w:val="List numerotee,Алроса_маркер (Уровень 4),Маркер,ПАРАГРАФ,Bullet_IRAO,Мой Список,Абзац списка для документа,Bullet List,FooterText,numbered,Абзац маркированнный,Bullet Number,Нумерованый список"/>
    <w:basedOn w:val="a"/>
    <w:link w:val="a6"/>
    <w:uiPriority w:val="34"/>
    <w:qFormat/>
    <w:rsid w:val="00744214"/>
    <w:pPr>
      <w:ind w:left="720"/>
      <w:contextualSpacing/>
    </w:pPr>
  </w:style>
  <w:style w:type="character" w:customStyle="1" w:styleId="a6">
    <w:name w:val="Абзац списка Знак"/>
    <w:aliases w:val="List numerotee Знак,Алроса_маркер (Уровень 4) Знак,Маркер Знак,ПАРАГРАФ Знак,Bullet_IRAO Знак,Мой Список Знак,Абзац списка для документа Знак,Bullet List Знак,FooterText Знак,numbered Знак,Абзац маркированнный Знак,Bullet Number Знак"/>
    <w:basedOn w:val="a0"/>
    <w:link w:val="a5"/>
    <w:uiPriority w:val="34"/>
    <w:locked/>
    <w:rsid w:val="00F93AFE"/>
  </w:style>
  <w:style w:type="paragraph" w:styleId="a7">
    <w:name w:val="Balloon Text"/>
    <w:basedOn w:val="a"/>
    <w:link w:val="a8"/>
    <w:uiPriority w:val="99"/>
    <w:semiHidden/>
    <w:unhideWhenUsed/>
    <w:rsid w:val="003438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8AA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438AA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3438A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38A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438A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208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08AD"/>
  </w:style>
  <w:style w:type="paragraph" w:styleId="af">
    <w:name w:val="footer"/>
    <w:basedOn w:val="a"/>
    <w:link w:val="af0"/>
    <w:uiPriority w:val="99"/>
    <w:unhideWhenUsed/>
    <w:rsid w:val="006208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6857">
          <w:marLeft w:val="0"/>
          <w:marRight w:val="0"/>
          <w:marTop w:val="33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9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agencies/" TargetMode="External"/><Relationship Id="rId3" Type="http://schemas.openxmlformats.org/officeDocument/2006/relationships/hyperlink" Target="http://government.ru/agencies/" TargetMode="External"/><Relationship Id="rId7" Type="http://schemas.openxmlformats.org/officeDocument/2006/relationships/hyperlink" Target="http://government.ru/agencies/" TargetMode="External"/><Relationship Id="rId2" Type="http://schemas.openxmlformats.org/officeDocument/2006/relationships/hyperlink" Target="http://government.ru/agencies/" TargetMode="External"/><Relationship Id="rId1" Type="http://schemas.openxmlformats.org/officeDocument/2006/relationships/hyperlink" Target="http://government.ru/agencies/" TargetMode="External"/><Relationship Id="rId6" Type="http://schemas.openxmlformats.org/officeDocument/2006/relationships/hyperlink" Target="http://government.ru/agencies/" TargetMode="External"/><Relationship Id="rId11" Type="http://schemas.openxmlformats.org/officeDocument/2006/relationships/hyperlink" Target="http://government.ru/agencies/" TargetMode="External"/><Relationship Id="rId5" Type="http://schemas.openxmlformats.org/officeDocument/2006/relationships/hyperlink" Target="http://government.ru/agencies/" TargetMode="External"/><Relationship Id="rId10" Type="http://schemas.openxmlformats.org/officeDocument/2006/relationships/hyperlink" Target="http://government.ru/agencies/" TargetMode="External"/><Relationship Id="rId4" Type="http://schemas.openxmlformats.org/officeDocument/2006/relationships/hyperlink" Target="http://government.ru/agencies/" TargetMode="External"/><Relationship Id="rId9" Type="http://schemas.openxmlformats.org/officeDocument/2006/relationships/hyperlink" Target="http://government.ru/agenc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C52D-EF74-4717-80B2-2037EF51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ETsarev</dc:creator>
  <cp:keywords/>
  <dc:description/>
  <cp:lastModifiedBy>ETsarev</cp:lastModifiedBy>
  <cp:revision>9</cp:revision>
  <dcterms:created xsi:type="dcterms:W3CDTF">2023-02-27T17:20:00Z</dcterms:created>
  <dcterms:modified xsi:type="dcterms:W3CDTF">2023-02-28T13:17:00Z</dcterms:modified>
</cp:coreProperties>
</file>